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20 28 vom 3. Mai 2022</w:t>
      </w:r>
    </w:p>
    <w:p>
      <w:r>
        <w:t>VS Kantonsgericht, 2022-05-03, FR</w:t>
      </w:r>
    </w:p>
    <w:p>
      <w:r>
        <w:rPr>
          <w:b/>
        </w:rPr>
        <w:t xml:space="preserve">Quelle: </w:t>
      </w:r>
      <w:r>
        <w:t>https://mcp.opencaselaw.ch/entscheid/vs_gerichte_S2 20 28</w:t>
      </w:r>
    </w:p>
    <w:p>
      <w:r>
        <w:t>FR: VS_GERICHTE S2 20 28 du 3 mai 2022</w:t>
      </w:r>
    </w:p>
    <w:p>
      <w:r>
        <w:t>IT: VS_GERICHTE S2 20 28 del 3 maggio 2022</w:t>
      </w:r>
    </w:p>
    <w:p>
      <w:pPr>
        <w:pStyle w:val="Heading2"/>
      </w:pPr>
      <w:r>
        <w:t>Regeste</w:t>
      </w:r>
    </w:p>
    <w:p>
      <w:r>
        <w:t>S2 20 28 JUGEMENT DU 3 MAI 2022 Tribunal cantonal du Valais Cour des assurances sociales Composition : Candido Prada, président ; Thomas Brunner et Christophe Joris, juges ; Mireille Allegro, greffière en la cause X _________, 3960 G _________, recourante, représentée par Maître Michel Zen Ruffinen, avocat, 1971 Grimisuat contre CAISSE NATIONALE SUISSE D'ASSURANCE EN CAS D'ACCIDENTS (CNA), 6002 Lucerne, intimée (art. 61 let. i LPGA et 62 LPJA ; demande de révision d’un jugement ; faits nouveaux)</w:t>
      </w:r>
    </w:p>
    <w:p>
      <w:pPr>
        <w:pStyle w:val="Heading2"/>
      </w:pPr>
      <w:r>
        <w:t>Erwägungen</w:t>
      </w:r>
    </w:p>
    <w:p>
      <w:r>
        <w:rPr>
          <w:b/>
        </w:rPr>
        <w:t>E. 21</w:t>
      </w:r>
    </w:p>
    <w:p>
      <w:r>
        <w:t>août 2006, pièce 36). Il ne s’agit pas là d’éléments nouveaux. Le Dr DD _________ fait uniquement sa propre lecture des images à disposition. Quant au taux d’alcool dans le sang et ses effets sur la capacité de discernement de A _________, ils ont été dûment pris en compte par la Dresse Y _________ dans le cadre de son expertise (p. 34 ; pièce 80). Par conséquent, force est de constater, à l’instar de la défenderesse, que le rapport</w:t>
      </w:r>
    </w:p>
    <w:p>
      <w:r>
        <w:t>- 11 - du Dr DD _________ ne constitue qu’une simple appréciation différente des faits et ne justifie pas la révision du jugement du 18 mai 2010. 2.2.4 Par ailleurs, la modification des informations spécialisées concernant l’Antabus en novembre 2014 ne constitue par un motif de révision, dans la mesure où les effets néfastes sur la conduite de l’interaction entre l’Antabus et l’alcool étaient déjà connus avant 2014 et que A _________ en avait été averti par son médecin de famille, comme l’a relevé la Dresse EE _________ dans son appréciation claire et motivée du 22 juin 2020, dont la Cour ne voit aucun motif de s’écarter. En outre, cet élément avait été examiné par la Dresse Y _________ dans le cadre de son expertise (p. 29 et 30 ; pièce 80), laquelle avait constaté que rien ne permettait d’affirmer que A _________ avait ingéré de l’Antabus le jour de son décès. Il s’ensuit que le contenu de l’avis du Dr DD _________ du 10 mai 2020 et les informations spécialisées de l’Antabus version 2014 ne constituent pas des faits nouveaux et qu’au surplus, leur connaissance n’aurait pas conduit à un avis différent. 3. En conclusion, la demande de révision doit être rejetée. 4. La procédure étant gratuite, il n'y a pas lieu de percevoir de frais judiciaires (art. 61 let. a LPGA). Vu l’issue, il n’est pas alloué de dépens (art. 61 let. g a contrario LPGA).</w:t>
      </w:r>
    </w:p>
    <w:p>
      <w:r>
        <w:t>Prononce</w:t>
      </w:r>
    </w:p>
    <w:p>
      <w:r>
        <w:t>1. Le recours est rejeté. 2. Il n'est pas perçu de frais, ni alloué de dépens.</w:t>
      </w:r>
    </w:p>
    <w:p>
      <w:r>
        <w:t>Sion, le 3 mai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